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color w:val="000000"/>
          <w:kern w:val="0"/>
          <w:sz w:val="36"/>
          <w:szCs w:val="36"/>
        </w:rPr>
        <w:t>商务</w:t>
      </w:r>
      <w:r>
        <w:rPr>
          <w:rFonts w:hint="eastAsia" w:ascii="方正小标宋简体" w:hAnsi="方正小标宋简体" w:eastAsia="方正小标宋简体" w:cs="方正小标宋简体"/>
          <w:b w:val="0"/>
          <w:bCs w:val="0"/>
          <w:sz w:val="36"/>
          <w:szCs w:val="36"/>
        </w:rPr>
        <w:t>评分表（35分）</w:t>
      </w:r>
    </w:p>
    <w:tbl>
      <w:tblPr>
        <w:tblStyle w:val="3"/>
        <w:tblW w:w="967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08"/>
        <w:gridCol w:w="992"/>
        <w:gridCol w:w="6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79" w:hRule="atLeast"/>
          <w:jc w:val="center"/>
        </w:trPr>
        <w:tc>
          <w:tcPr>
            <w:tcW w:w="230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评审内容</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6379" w:type="dxa"/>
            <w:vAlign w:val="center"/>
          </w:tcPr>
          <w:p>
            <w:pPr>
              <w:jc w:val="cente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95" w:hRule="atLeast"/>
          <w:jc w:val="center"/>
        </w:trPr>
        <w:tc>
          <w:tcPr>
            <w:tcW w:w="230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项目业绩</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提供2014年至今承接的绿化养护项目业绩，单项合同得1分，满分为10分。</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（提供加盖公章的合同复印件，不提供不得分）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698" w:hRule="atLeast"/>
          <w:jc w:val="center"/>
        </w:trPr>
        <w:tc>
          <w:tcPr>
            <w:tcW w:w="230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企业综合实力</w:t>
            </w:r>
          </w:p>
        </w:tc>
        <w:tc>
          <w:tcPr>
            <w:tcW w:w="992"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6分</w:t>
            </w:r>
          </w:p>
        </w:tc>
        <w:tc>
          <w:tcPr>
            <w:tcW w:w="6379" w:type="dxa"/>
            <w:vAlign w:val="center"/>
          </w:tcPr>
          <w:p>
            <w:pPr>
              <w:adjustRightIn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1、具备林业有害生物防治资质的，得2分；</w:t>
            </w:r>
          </w:p>
          <w:p>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2、具备林木种子生产经营许可资质或具有林木种子生产许可证与林木种子经营许可证，得2分；</w:t>
            </w:r>
          </w:p>
          <w:p>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3、具备专利证书的，得2分。</w:t>
            </w:r>
          </w:p>
          <w:p>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（提供加盖公章的证书复印件，不提供不得分）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547" w:hRule="atLeast"/>
          <w:jc w:val="center"/>
        </w:trPr>
        <w:tc>
          <w:tcPr>
            <w:tcW w:w="230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企业信用</w:t>
            </w:r>
          </w:p>
        </w:tc>
        <w:tc>
          <w:tcPr>
            <w:tcW w:w="992"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4分</w:t>
            </w:r>
          </w:p>
        </w:tc>
        <w:tc>
          <w:tcPr>
            <w:tcW w:w="6379" w:type="dxa"/>
            <w:vAlign w:val="center"/>
          </w:tcPr>
          <w:p>
            <w:pPr>
              <w:ind w:right="-2" w:rightChars="-1"/>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1、获得中国园林绿化AAA级信用企业证书，得2分；</w:t>
            </w:r>
          </w:p>
          <w:p>
            <w:pPr>
              <w:ind w:right="-2" w:rightChars="-1"/>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2、获得企业信用评价AAA级信用企业证书，得2分；</w:t>
            </w:r>
          </w:p>
          <w:p>
            <w:pPr>
              <w:ind w:right="-2" w:rightChars="-1"/>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3、无或其他不得分。</w:t>
            </w:r>
          </w:p>
          <w:p>
            <w:pPr>
              <w:ind w:right="-2" w:rightChars="-1"/>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（提供加盖公章的证书复印件，不提供不得分）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824" w:hRule="atLeast"/>
          <w:jc w:val="center"/>
        </w:trPr>
        <w:tc>
          <w:tcPr>
            <w:tcW w:w="2308" w:type="dxa"/>
            <w:vAlign w:val="center"/>
          </w:tcPr>
          <w:p>
            <w:pPr>
              <w:spacing w:after="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守合同重信用证书</w:t>
            </w:r>
          </w:p>
        </w:tc>
        <w:tc>
          <w:tcPr>
            <w:tcW w:w="992"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5分</w:t>
            </w:r>
          </w:p>
        </w:tc>
        <w:tc>
          <w:tcPr>
            <w:tcW w:w="6379" w:type="dxa"/>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连续5年或以上：5分；</w:t>
            </w:r>
          </w:p>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连续4年或以下按获得年限1年1分计算，满分为：4分；</w:t>
            </w:r>
          </w:p>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无：0分。</w:t>
            </w:r>
          </w:p>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（提供加盖公章的证书复印件，不提供不得分）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97" w:hRule="atLeast"/>
          <w:jc w:val="center"/>
        </w:trPr>
        <w:tc>
          <w:tcPr>
            <w:tcW w:w="230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企业管理体系认证</w:t>
            </w:r>
          </w:p>
        </w:tc>
        <w:tc>
          <w:tcPr>
            <w:tcW w:w="992"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6分</w:t>
            </w:r>
          </w:p>
        </w:tc>
        <w:tc>
          <w:tcPr>
            <w:tcW w:w="6379"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同时具备质量管理体系认证，得2分；</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环境管理体系认证，得2分；</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职业健康管理体系认证，得2分；</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无：0分。</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（提供加盖公章的证书复印件，不提供不得分）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230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售后服务机构</w:t>
            </w:r>
          </w:p>
        </w:tc>
        <w:tc>
          <w:tcPr>
            <w:tcW w:w="992"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4分</w:t>
            </w:r>
          </w:p>
        </w:tc>
        <w:tc>
          <w:tcPr>
            <w:tcW w:w="6379" w:type="dxa"/>
            <w:vAlign w:val="center"/>
          </w:tcPr>
          <w:p>
            <w:pPr>
              <w:adjustRightInd w:val="0"/>
              <w:snapToGrid w:val="0"/>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广州市内有完善的服务机构的，得4分；</w:t>
            </w:r>
          </w:p>
          <w:p>
            <w:pPr>
              <w:adjustRightInd w:val="0"/>
              <w:snapToGrid w:val="0"/>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在广东省内有完善的服务机构的，得2分；</w:t>
            </w:r>
          </w:p>
          <w:p>
            <w:pPr>
              <w:adjustRightInd w:val="0"/>
              <w:snapToGrid w:val="0"/>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其他的，得1分。</w:t>
            </w:r>
          </w:p>
          <w:p>
            <w:pPr>
              <w:adjustRightInd w:val="0"/>
              <w:snapToGrid w:val="0"/>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（提供营业执照复印件作为评审依据，无提供不得分）</w:t>
            </w:r>
          </w:p>
        </w:tc>
      </w:tr>
    </w:tbl>
    <w:p>
      <w:pPr>
        <w:rPr>
          <w:rFonts w:hint="eastAsia" w:ascii="仿宋_GB2312" w:hAnsi="仿宋_GB2312" w:eastAsia="仿宋_GB2312" w:cs="仿宋_GB2312"/>
          <w:b/>
          <w:bCs/>
          <w:color w:val="000000"/>
          <w:sz w:val="24"/>
          <w:szCs w:val="24"/>
        </w:rPr>
      </w:pPr>
    </w:p>
    <w:p>
      <w:pP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备注：⑴招标文件要求提交的与评价指标体系相关的各类有效资料，投标人如未按要求提交的，该项评分为零分；⑵仅对已通过初步评审的投标文件进行评分；评分小数点保留至0.1；</w:t>
      </w:r>
    </w:p>
    <w:p>
      <w:pPr>
        <w:jc w:val="center"/>
        <w:rPr>
          <w:rFonts w:ascii="宋体"/>
          <w:b/>
          <w:bCs/>
          <w:color w:val="000000"/>
          <w:sz w:val="28"/>
          <w:szCs w:val="28"/>
        </w:rPr>
      </w:pPr>
    </w:p>
    <w:p>
      <w:pPr>
        <w:jc w:val="center"/>
        <w:rPr>
          <w:rFonts w:ascii="宋体"/>
          <w:b/>
          <w:bCs/>
          <w:color w:val="000000"/>
          <w:sz w:val="28"/>
          <w:szCs w:val="28"/>
        </w:rPr>
      </w:pPr>
    </w:p>
    <w:p>
      <w:pPr>
        <w:jc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服务评分表（35分）</w:t>
      </w:r>
    </w:p>
    <w:tbl>
      <w:tblPr>
        <w:tblStyle w:val="3"/>
        <w:tblW w:w="9901" w:type="dxa"/>
        <w:jc w:val="center"/>
        <w:tblInd w:w="1438" w:type="dxa"/>
        <w:tblLayout w:type="fixed"/>
        <w:tblCellMar>
          <w:top w:w="0" w:type="dxa"/>
          <w:left w:w="108" w:type="dxa"/>
          <w:bottom w:w="0" w:type="dxa"/>
          <w:right w:w="108" w:type="dxa"/>
        </w:tblCellMar>
      </w:tblPr>
      <w:tblGrid>
        <w:gridCol w:w="2551"/>
        <w:gridCol w:w="885"/>
        <w:gridCol w:w="6465"/>
      </w:tblGrid>
      <w:tr>
        <w:tblPrEx>
          <w:tblLayout w:type="fixed"/>
          <w:tblCellMar>
            <w:top w:w="0" w:type="dxa"/>
            <w:left w:w="108" w:type="dxa"/>
            <w:bottom w:w="0" w:type="dxa"/>
            <w:right w:w="108" w:type="dxa"/>
          </w:tblCellMar>
        </w:tblPrEx>
        <w:trPr>
          <w:trHeight w:val="439" w:hRule="atLeast"/>
          <w:jc w:val="center"/>
        </w:trPr>
        <w:tc>
          <w:tcPr>
            <w:tcW w:w="2551" w:type="dxa"/>
            <w:tcBorders>
              <w:top w:val="single" w:color="auto" w:sz="12"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评审内容</w:t>
            </w:r>
          </w:p>
        </w:tc>
        <w:tc>
          <w:tcPr>
            <w:tcW w:w="885" w:type="dxa"/>
            <w:tcBorders>
              <w:top w:val="single" w:color="auto" w:sz="12"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6465" w:type="dxa"/>
            <w:tcBorders>
              <w:top w:val="single" w:color="auto" w:sz="12" w:space="0"/>
              <w:left w:val="single" w:color="auto" w:sz="6" w:space="0"/>
              <w:bottom w:val="single" w:color="auto" w:sz="6" w:space="0"/>
              <w:right w:val="single" w:color="auto" w:sz="12" w:space="0"/>
            </w:tcBorders>
            <w:vAlign w:val="center"/>
          </w:tcPr>
          <w:p>
            <w:pPr>
              <w:jc w:val="cente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评分标准</w:t>
            </w:r>
          </w:p>
        </w:tc>
      </w:tr>
      <w:tr>
        <w:tblPrEx>
          <w:tblLayout w:type="fixed"/>
          <w:tblCellMar>
            <w:top w:w="0" w:type="dxa"/>
            <w:left w:w="108" w:type="dxa"/>
            <w:bottom w:w="0" w:type="dxa"/>
            <w:right w:w="108" w:type="dxa"/>
          </w:tblCellMar>
        </w:tblPrEx>
        <w:trPr>
          <w:trHeight w:val="439" w:hRule="atLeast"/>
          <w:jc w:val="center"/>
        </w:trPr>
        <w:tc>
          <w:tcPr>
            <w:tcW w:w="2551" w:type="dxa"/>
            <w:tcBorders>
              <w:top w:val="single" w:color="auto" w:sz="12"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对项目的熟悉程度</w:t>
            </w:r>
          </w:p>
        </w:tc>
        <w:tc>
          <w:tcPr>
            <w:tcW w:w="885" w:type="dxa"/>
            <w:tcBorders>
              <w:top w:val="single" w:color="auto" w:sz="12"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7分</w:t>
            </w:r>
          </w:p>
        </w:tc>
        <w:tc>
          <w:tcPr>
            <w:tcW w:w="6465" w:type="dxa"/>
            <w:tcBorders>
              <w:top w:val="single" w:color="auto" w:sz="12" w:space="0"/>
              <w:left w:val="single" w:color="auto" w:sz="6" w:space="0"/>
              <w:bottom w:val="single" w:color="auto" w:sz="6" w:space="0"/>
              <w:right w:val="single" w:color="auto" w:sz="12" w:space="0"/>
            </w:tcBorders>
            <w:vAlign w:val="center"/>
          </w:tcPr>
          <w:p>
            <w:pPr>
              <w:spacing w:line="3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根据投标人对本项目情况的初步了解和实地情况理解透彻的程度、进行横向对比，优得6-7分，良得3-5分，一般得1-2分。</w:t>
            </w:r>
          </w:p>
          <w:p>
            <w:pPr>
              <w:spacing w:line="3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注：投标人需对本项目基本情况和项目现场的了解程度作出说明（提供项目熟悉程度说明，不提供不得分）。</w:t>
            </w:r>
          </w:p>
        </w:tc>
      </w:tr>
      <w:tr>
        <w:tblPrEx>
          <w:tblLayout w:type="fixed"/>
          <w:tblCellMar>
            <w:top w:w="0" w:type="dxa"/>
            <w:left w:w="108" w:type="dxa"/>
            <w:bottom w:w="0" w:type="dxa"/>
            <w:right w:w="108" w:type="dxa"/>
          </w:tblCellMar>
        </w:tblPrEx>
        <w:trPr>
          <w:trHeight w:val="295" w:hRule="atLeast"/>
          <w:jc w:val="center"/>
        </w:trPr>
        <w:tc>
          <w:tcPr>
            <w:tcW w:w="2551"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服务组织措施、工作计划及其保证措施</w:t>
            </w:r>
          </w:p>
        </w:tc>
        <w:tc>
          <w:tcPr>
            <w:tcW w:w="885"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7分</w:t>
            </w:r>
          </w:p>
        </w:tc>
        <w:tc>
          <w:tcPr>
            <w:tcW w:w="6465" w:type="dxa"/>
            <w:tcBorders>
              <w:top w:val="single" w:color="auto" w:sz="6" w:space="0"/>
              <w:left w:val="single" w:color="auto" w:sz="6" w:space="0"/>
              <w:bottom w:val="single" w:color="auto" w:sz="6" w:space="0"/>
              <w:right w:val="single" w:color="auto" w:sz="12" w:space="0"/>
            </w:tcBorders>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有组织管理结构图、有绿化日常管养的月度和年度的工作计划、劳动力使用计划、资金使用计划及其保证措施，计划详细、合理可行，得6-7分。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有组织管理结构图、有绿化日常管养的月度和年度的工作计划、劳动力使用计划、资金使用计划及其保证措施，计划基本合理可行，措施基本得当，得3-5分。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有组织管理结构图、有绿化日常管养的月度和年度的工作计划、劳动力使用计划、资金使用计划不全，有漏项，得0-2 分。</w:t>
            </w:r>
          </w:p>
        </w:tc>
      </w:tr>
      <w:tr>
        <w:tblPrEx>
          <w:tblLayout w:type="fixed"/>
          <w:tblCellMar>
            <w:top w:w="0" w:type="dxa"/>
            <w:left w:w="108" w:type="dxa"/>
            <w:bottom w:w="0" w:type="dxa"/>
            <w:right w:w="108" w:type="dxa"/>
          </w:tblCellMar>
        </w:tblPrEx>
        <w:trPr>
          <w:trHeight w:val="737" w:hRule="atLeast"/>
          <w:jc w:val="center"/>
        </w:trPr>
        <w:tc>
          <w:tcPr>
            <w:tcW w:w="2551" w:type="dxa"/>
            <w:tcBorders>
              <w:top w:val="single" w:color="auto" w:sz="6" w:space="0"/>
              <w:left w:val="single" w:color="auto" w:sz="12" w:space="0"/>
              <w:bottom w:val="single" w:color="auto" w:sz="6" w:space="0"/>
              <w:right w:val="single" w:color="auto" w:sz="6" w:space="0"/>
            </w:tcBorders>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突发事件响应能力和应急处理措施</w:t>
            </w:r>
          </w:p>
        </w:tc>
        <w:tc>
          <w:tcPr>
            <w:tcW w:w="885"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6分</w:t>
            </w:r>
          </w:p>
        </w:tc>
        <w:tc>
          <w:tcPr>
            <w:tcW w:w="6465" w:type="dxa"/>
            <w:tcBorders>
              <w:top w:val="single" w:color="auto" w:sz="6" w:space="0"/>
              <w:left w:val="single" w:color="auto" w:sz="6" w:space="0"/>
              <w:bottom w:val="single" w:color="auto" w:sz="6" w:space="0"/>
              <w:right w:val="single" w:color="auto" w:sz="12" w:space="0"/>
            </w:tcBorders>
            <w:vAlign w:val="center"/>
          </w:tcPr>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突发事件响应时间、承诺调配的人员数、处理方案和应急处理措施完善，切实可行，得5-6分；</w:t>
            </w:r>
          </w:p>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突发事件响应时间、承诺调配的人员数、处理方案和应急处理措施较完善，切实可行，得2-4分；</w:t>
            </w:r>
          </w:p>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突发事件响应时间、承诺调配的人员数、处理方案和应急处理措施不能满足招标文件的要求，安排不合理不可行，得0-1分。</w:t>
            </w:r>
          </w:p>
        </w:tc>
      </w:tr>
      <w:tr>
        <w:tblPrEx>
          <w:tblLayout w:type="fixed"/>
          <w:tblCellMar>
            <w:top w:w="0" w:type="dxa"/>
            <w:left w:w="108" w:type="dxa"/>
            <w:bottom w:w="0" w:type="dxa"/>
            <w:right w:w="108" w:type="dxa"/>
          </w:tblCellMar>
        </w:tblPrEx>
        <w:trPr>
          <w:trHeight w:val="737" w:hRule="atLeast"/>
          <w:jc w:val="center"/>
        </w:trPr>
        <w:tc>
          <w:tcPr>
            <w:tcW w:w="2551"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机械化设备力量</w:t>
            </w:r>
          </w:p>
        </w:tc>
        <w:tc>
          <w:tcPr>
            <w:tcW w:w="885"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6分</w:t>
            </w:r>
          </w:p>
        </w:tc>
        <w:tc>
          <w:tcPr>
            <w:tcW w:w="6465" w:type="dxa"/>
            <w:tcBorders>
              <w:top w:val="single" w:color="auto" w:sz="6" w:space="0"/>
              <w:left w:val="single" w:color="auto" w:sz="6" w:space="0"/>
              <w:bottom w:val="single" w:color="auto" w:sz="6" w:space="0"/>
              <w:right w:val="single" w:color="auto" w:sz="12" w:space="0"/>
            </w:tcBorders>
            <w:vAlign w:val="center"/>
          </w:tcPr>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投入喷药机、绿篱机、割灌机、高枝剪、割草机各3台或以上，车辆2台或以上的，得6分；</w:t>
            </w:r>
          </w:p>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投入喷药机、绿篱机、割灌机、高枝剪、割草机各1台或以上，车辆1台或以上的，得3分；</w:t>
            </w:r>
          </w:p>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喷药机、绿篱机、割灌机、高枝剪、割草机、车辆，不齐全的；得1分。</w:t>
            </w:r>
          </w:p>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以上所述需提供自有设备需发票或行驶证，租赁设备需提供租赁合同，没有管养设备或不能提供设备发票或行驶证或租赁合同，不得分。</w:t>
            </w:r>
          </w:p>
        </w:tc>
      </w:tr>
      <w:tr>
        <w:tblPrEx>
          <w:tblLayout w:type="fixed"/>
          <w:tblCellMar>
            <w:top w:w="0" w:type="dxa"/>
            <w:left w:w="108" w:type="dxa"/>
            <w:bottom w:w="0" w:type="dxa"/>
            <w:right w:w="108" w:type="dxa"/>
          </w:tblCellMar>
        </w:tblPrEx>
        <w:trPr>
          <w:trHeight w:val="737" w:hRule="atLeast"/>
          <w:jc w:val="center"/>
        </w:trPr>
        <w:tc>
          <w:tcPr>
            <w:tcW w:w="2551" w:type="dxa"/>
            <w:tcBorders>
              <w:top w:val="single" w:color="auto" w:sz="6" w:space="0"/>
              <w:left w:val="single" w:color="auto" w:sz="12" w:space="0"/>
              <w:bottom w:val="single" w:color="auto" w:sz="6" w:space="0"/>
              <w:right w:val="single" w:color="auto" w:sz="6" w:space="0"/>
            </w:tcBorders>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服务承诺</w:t>
            </w:r>
          </w:p>
        </w:tc>
        <w:tc>
          <w:tcPr>
            <w:tcW w:w="885" w:type="dxa"/>
            <w:tcBorders>
              <w:top w:val="single" w:color="auto" w:sz="6" w:space="0"/>
              <w:left w:val="single" w:color="auto" w:sz="12" w:space="0"/>
              <w:bottom w:val="single" w:color="auto" w:sz="6" w:space="0"/>
              <w:right w:val="single" w:color="auto" w:sz="6" w:space="0"/>
            </w:tcBorders>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3分</w:t>
            </w:r>
          </w:p>
        </w:tc>
        <w:tc>
          <w:tcPr>
            <w:tcW w:w="6465" w:type="dxa"/>
            <w:tcBorders>
              <w:top w:val="single" w:color="auto" w:sz="6" w:space="0"/>
              <w:left w:val="single" w:color="auto" w:sz="6" w:space="0"/>
              <w:bottom w:val="single" w:color="auto" w:sz="6" w:space="0"/>
              <w:right w:val="single" w:color="auto" w:sz="12" w:space="0"/>
            </w:tcBorders>
            <w:vAlign w:val="center"/>
          </w:tcPr>
          <w:p>
            <w:pPr>
              <w:spacing w:line="3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GB"/>
              </w:rPr>
              <w:t>根据投标人针对</w:t>
            </w:r>
            <w:r>
              <w:rPr>
                <w:rFonts w:hint="eastAsia" w:ascii="仿宋_GB2312" w:hAnsi="仿宋_GB2312" w:eastAsia="仿宋_GB2312" w:cs="仿宋_GB2312"/>
                <w:kern w:val="0"/>
                <w:sz w:val="24"/>
                <w:szCs w:val="24"/>
              </w:rPr>
              <w:t>本</w:t>
            </w:r>
            <w:r>
              <w:rPr>
                <w:rFonts w:hint="eastAsia" w:ascii="仿宋_GB2312" w:hAnsi="仿宋_GB2312" w:eastAsia="仿宋_GB2312" w:cs="仿宋_GB2312"/>
                <w:kern w:val="0"/>
                <w:sz w:val="24"/>
                <w:szCs w:val="24"/>
                <w:lang w:val="en-GB"/>
              </w:rPr>
              <w:t>项目提供</w:t>
            </w:r>
            <w:r>
              <w:rPr>
                <w:rFonts w:hint="eastAsia" w:ascii="仿宋_GB2312" w:hAnsi="仿宋_GB2312" w:eastAsia="仿宋_GB2312" w:cs="仿宋_GB2312"/>
                <w:kern w:val="0"/>
                <w:sz w:val="24"/>
                <w:szCs w:val="24"/>
              </w:rPr>
              <w:t>的</w:t>
            </w:r>
            <w:r>
              <w:rPr>
                <w:rFonts w:hint="eastAsia" w:ascii="仿宋_GB2312" w:hAnsi="仿宋_GB2312" w:eastAsia="仿宋_GB2312" w:cs="仿宋_GB2312"/>
                <w:kern w:val="0"/>
                <w:sz w:val="24"/>
                <w:szCs w:val="24"/>
                <w:lang w:val="en-GB"/>
              </w:rPr>
              <w:t>服务</w:t>
            </w:r>
            <w:r>
              <w:rPr>
                <w:rFonts w:hint="eastAsia" w:ascii="仿宋_GB2312" w:hAnsi="仿宋_GB2312" w:eastAsia="仿宋_GB2312" w:cs="仿宋_GB2312"/>
                <w:kern w:val="0"/>
                <w:sz w:val="24"/>
                <w:szCs w:val="24"/>
              </w:rPr>
              <w:t>承诺</w:t>
            </w:r>
            <w:r>
              <w:rPr>
                <w:rFonts w:hint="eastAsia" w:ascii="仿宋_GB2312" w:hAnsi="仿宋_GB2312" w:eastAsia="仿宋_GB2312" w:cs="仿宋_GB2312"/>
                <w:kern w:val="0"/>
                <w:sz w:val="24"/>
                <w:szCs w:val="24"/>
                <w:lang w:val="en-GB"/>
              </w:rPr>
              <w:t>及优惠条件等综合情况，对比所有投标人，优得</w:t>
            </w: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GB"/>
              </w:rPr>
              <w:t>分，良得</w:t>
            </w: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val="en-GB"/>
              </w:rPr>
              <w:t>分，一般得</w:t>
            </w: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GB"/>
              </w:rPr>
              <w:t>分。</w:t>
            </w:r>
          </w:p>
        </w:tc>
      </w:tr>
      <w:tr>
        <w:tblPrEx>
          <w:tblLayout w:type="fixed"/>
          <w:tblCellMar>
            <w:top w:w="0" w:type="dxa"/>
            <w:left w:w="108" w:type="dxa"/>
            <w:bottom w:w="0" w:type="dxa"/>
            <w:right w:w="108" w:type="dxa"/>
          </w:tblCellMar>
        </w:tblPrEx>
        <w:trPr>
          <w:trHeight w:val="737" w:hRule="atLeast"/>
          <w:jc w:val="center"/>
        </w:trPr>
        <w:tc>
          <w:tcPr>
            <w:tcW w:w="2551" w:type="dxa"/>
            <w:vMerge w:val="restart"/>
            <w:tcBorders>
              <w:top w:val="single" w:color="auto" w:sz="6" w:space="0"/>
              <w:left w:val="single" w:color="auto" w:sz="12" w:space="0"/>
              <w:right w:val="single" w:color="auto" w:sz="6"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苗圃规模情况</w:t>
            </w:r>
          </w:p>
        </w:tc>
        <w:tc>
          <w:tcPr>
            <w:tcW w:w="885" w:type="dxa"/>
            <w:vMerge w:val="restart"/>
            <w:tcBorders>
              <w:top w:val="single" w:color="auto" w:sz="6"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6分</w:t>
            </w:r>
          </w:p>
        </w:tc>
        <w:tc>
          <w:tcPr>
            <w:tcW w:w="6465" w:type="dxa"/>
            <w:tcBorders>
              <w:top w:val="single" w:color="auto" w:sz="6" w:space="0"/>
              <w:left w:val="single" w:color="auto" w:sz="6" w:space="0"/>
              <w:bottom w:val="single" w:color="auto" w:sz="6" w:space="0"/>
              <w:right w:val="single" w:color="auto" w:sz="12" w:space="0"/>
            </w:tcBorders>
            <w:vAlign w:val="center"/>
          </w:tcPr>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累计200亩以上的；3分</w:t>
            </w:r>
          </w:p>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累计100亩~200亩；2分</w:t>
            </w:r>
          </w:p>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累计100亩以下；1分</w:t>
            </w:r>
          </w:p>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没有或无提供证明的；0分</w:t>
            </w:r>
          </w:p>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（自有苗圃需附房权证，租赁苗圃需提供有效期为1年或以上的的租赁合同）</w:t>
            </w:r>
          </w:p>
        </w:tc>
      </w:tr>
      <w:tr>
        <w:tblPrEx>
          <w:tblLayout w:type="fixed"/>
          <w:tblCellMar>
            <w:top w:w="0" w:type="dxa"/>
            <w:left w:w="108" w:type="dxa"/>
            <w:bottom w:w="0" w:type="dxa"/>
            <w:right w:w="108" w:type="dxa"/>
          </w:tblCellMar>
        </w:tblPrEx>
        <w:trPr>
          <w:trHeight w:val="465" w:hRule="atLeast"/>
          <w:jc w:val="center"/>
        </w:trPr>
        <w:tc>
          <w:tcPr>
            <w:tcW w:w="2551" w:type="dxa"/>
            <w:vMerge w:val="continue"/>
            <w:tcBorders>
              <w:left w:val="single" w:color="auto" w:sz="12" w:space="0"/>
              <w:bottom w:val="single" w:color="auto" w:sz="6" w:space="0"/>
              <w:right w:val="single" w:color="auto" w:sz="6" w:space="0"/>
            </w:tcBorders>
            <w:vAlign w:val="center"/>
          </w:tcPr>
          <w:p>
            <w:pPr>
              <w:widowControl/>
              <w:rPr>
                <w:rFonts w:hint="eastAsia" w:ascii="仿宋_GB2312" w:hAnsi="仿宋_GB2312" w:eastAsia="仿宋_GB2312" w:cs="仿宋_GB2312"/>
                <w:sz w:val="24"/>
                <w:szCs w:val="24"/>
              </w:rPr>
            </w:pPr>
          </w:p>
        </w:tc>
        <w:tc>
          <w:tcPr>
            <w:tcW w:w="885"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仿宋_GB2312" w:hAnsi="仿宋_GB2312" w:eastAsia="仿宋_GB2312" w:cs="仿宋_GB2312"/>
                <w:sz w:val="24"/>
                <w:szCs w:val="24"/>
              </w:rPr>
            </w:pPr>
          </w:p>
        </w:tc>
        <w:tc>
          <w:tcPr>
            <w:tcW w:w="6465" w:type="dxa"/>
            <w:tcBorders>
              <w:top w:val="single" w:color="auto" w:sz="6" w:space="0"/>
              <w:left w:val="single" w:color="auto" w:sz="6" w:space="0"/>
              <w:bottom w:val="single" w:color="auto" w:sz="6" w:space="0"/>
              <w:right w:val="single" w:color="auto" w:sz="12" w:space="0"/>
            </w:tcBorders>
            <w:vAlign w:val="center"/>
          </w:tcPr>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广州市内：3分     广东省内：2分     广东省外：1分</w:t>
            </w:r>
          </w:p>
        </w:tc>
      </w:tr>
    </w:tbl>
    <w:p>
      <w:pPr>
        <w:rPr>
          <w:rFonts w:hint="eastAsia" w:ascii="仿宋_GB2312" w:hAnsi="仿宋_GB2312" w:eastAsia="仿宋_GB2312" w:cs="仿宋_GB2312"/>
          <w:b/>
          <w:bCs/>
          <w:color w:val="000000"/>
          <w:sz w:val="24"/>
          <w:szCs w:val="24"/>
        </w:rPr>
      </w:pPr>
    </w:p>
    <w:p>
      <w:pPr>
        <w:jc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价格评分表</w:t>
      </w:r>
      <w:bookmarkStart w:id="0" w:name="_GoBack"/>
      <w:bookmarkEnd w:id="0"/>
      <w:r>
        <w:rPr>
          <w:rFonts w:hint="eastAsia" w:ascii="方正小标宋简体" w:hAnsi="方正小标宋简体" w:eastAsia="方正小标宋简体" w:cs="方正小标宋简体"/>
          <w:b w:val="0"/>
          <w:bCs w:val="0"/>
          <w:color w:val="000000"/>
          <w:sz w:val="36"/>
          <w:szCs w:val="36"/>
        </w:rPr>
        <w:t>（30分）</w:t>
      </w:r>
    </w:p>
    <w:tbl>
      <w:tblPr>
        <w:tblStyle w:val="3"/>
        <w:tblW w:w="9901" w:type="dxa"/>
        <w:jc w:val="center"/>
        <w:tblInd w:w="1438" w:type="dxa"/>
        <w:tblLayout w:type="fixed"/>
        <w:tblCellMar>
          <w:top w:w="0" w:type="dxa"/>
          <w:left w:w="108" w:type="dxa"/>
          <w:bottom w:w="0" w:type="dxa"/>
          <w:right w:w="108" w:type="dxa"/>
        </w:tblCellMar>
      </w:tblPr>
      <w:tblGrid>
        <w:gridCol w:w="2551"/>
        <w:gridCol w:w="1134"/>
        <w:gridCol w:w="6216"/>
      </w:tblGrid>
      <w:tr>
        <w:tblPrEx>
          <w:tblLayout w:type="fixed"/>
          <w:tblCellMar>
            <w:top w:w="0" w:type="dxa"/>
            <w:left w:w="108" w:type="dxa"/>
            <w:bottom w:w="0" w:type="dxa"/>
            <w:right w:w="108" w:type="dxa"/>
          </w:tblCellMar>
        </w:tblPrEx>
        <w:trPr>
          <w:trHeight w:val="439" w:hRule="atLeast"/>
          <w:jc w:val="center"/>
        </w:trPr>
        <w:tc>
          <w:tcPr>
            <w:tcW w:w="2551" w:type="dxa"/>
            <w:tcBorders>
              <w:top w:val="single" w:color="auto" w:sz="12"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评审内容</w:t>
            </w:r>
          </w:p>
        </w:tc>
        <w:tc>
          <w:tcPr>
            <w:tcW w:w="1134" w:type="dxa"/>
            <w:tcBorders>
              <w:top w:val="single" w:color="auto" w:sz="12"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6216" w:type="dxa"/>
            <w:tcBorders>
              <w:top w:val="single" w:color="auto" w:sz="12" w:space="0"/>
              <w:left w:val="single" w:color="auto" w:sz="6" w:space="0"/>
              <w:bottom w:val="single" w:color="auto" w:sz="6" w:space="0"/>
              <w:right w:val="single" w:color="auto" w:sz="12" w:space="0"/>
            </w:tcBorders>
            <w:vAlign w:val="center"/>
          </w:tcPr>
          <w:p>
            <w:pPr>
              <w:jc w:val="cente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评分标准</w:t>
            </w:r>
          </w:p>
        </w:tc>
      </w:tr>
      <w:tr>
        <w:tblPrEx>
          <w:tblLayout w:type="fixed"/>
          <w:tblCellMar>
            <w:top w:w="0" w:type="dxa"/>
            <w:left w:w="108" w:type="dxa"/>
            <w:bottom w:w="0" w:type="dxa"/>
            <w:right w:w="108" w:type="dxa"/>
          </w:tblCellMar>
        </w:tblPrEx>
        <w:trPr>
          <w:trHeight w:val="439" w:hRule="atLeast"/>
          <w:jc w:val="center"/>
        </w:trPr>
        <w:tc>
          <w:tcPr>
            <w:tcW w:w="2551" w:type="dxa"/>
            <w:tcBorders>
              <w:top w:val="single" w:color="auto" w:sz="12"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价格</w:t>
            </w:r>
          </w:p>
        </w:tc>
        <w:tc>
          <w:tcPr>
            <w:tcW w:w="1134" w:type="dxa"/>
            <w:tcBorders>
              <w:top w:val="single" w:color="auto" w:sz="12" w:space="0"/>
              <w:left w:val="single" w:color="auto" w:sz="12" w:space="0"/>
              <w:bottom w:val="single" w:color="auto" w:sz="6" w:space="0"/>
              <w:right w:val="single" w:color="auto" w:sz="6"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30分</w:t>
            </w:r>
          </w:p>
        </w:tc>
        <w:tc>
          <w:tcPr>
            <w:tcW w:w="6216" w:type="dxa"/>
            <w:tcBorders>
              <w:top w:val="single" w:color="auto" w:sz="12" w:space="0"/>
              <w:left w:val="single" w:color="auto" w:sz="6" w:space="0"/>
              <w:bottom w:val="single" w:color="auto" w:sz="6" w:space="0"/>
              <w:right w:val="single" w:color="auto" w:sz="12" w:space="0"/>
            </w:tcBorders>
            <w:vAlign w:val="center"/>
          </w:tcPr>
          <w:p>
            <w:pPr>
              <w:spacing w:line="36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价格评审满分占30分，为客观计算得分。满足招标文件要求且最低的有效报价为评标基准报价，其价格为满分30分。其他投标人的价格分统一按照下列公式计算：</w:t>
            </w:r>
          </w:p>
          <w:p>
            <w:pPr>
              <w:spacing w:line="36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投标报价得分=（评标基准价/投标报价）×价格标准分值</w:t>
            </w:r>
          </w:p>
        </w:tc>
      </w:tr>
    </w:tbl>
    <w:p>
      <w:pPr>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Cs w:val="21"/>
        </w:rPr>
        <w:t>备注：评分小数点保留至0.1。</w:t>
      </w:r>
    </w:p>
    <w:p>
      <w:pPr>
        <w:rPr>
          <w:rFonts w:hint="eastAsia" w:ascii="仿宋_GB2312" w:hAnsi="仿宋_GB2312" w:eastAsia="仿宋_GB2312" w:cs="仿宋_GB2312"/>
          <w:b/>
          <w:bCs/>
          <w:color w:val="000000"/>
          <w:sz w:val="28"/>
          <w:szCs w:val="28"/>
        </w:rPr>
      </w:pPr>
    </w:p>
    <w:p>
      <w:pPr>
        <w:widowControl/>
        <w:jc w:val="left"/>
        <w:rPr>
          <w:rFonts w:ascii="宋体"/>
          <w:sz w:val="28"/>
          <w:szCs w:val="28"/>
        </w:rPr>
      </w:pPr>
    </w:p>
    <w:p>
      <w:r>
        <w:rPr>
          <w:rFonts w:ascii="宋体"/>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D3AB4"/>
    <w:rsid w:val="49ED3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2017-11-09T01:01:00Z</dcterms:created>
  <dc:creator>杨婷婷</dc:creator>
  <cp:lastModifiedBy>杨婷婷</cp:lastModifiedBy>
  <dcterms:modified xsi:type="dcterms:W3CDTF">2017-11-09T01:03:49Z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